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Дума Белозерского муниципального округа 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Курганской области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52"/>
          <w:szCs w:val="52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52"/>
          <w:szCs w:val="52"/>
          <w:lang w:eastAsia="ru-RU"/>
        </w:rPr>
        <w:t>РЕШЕНИЕ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EF39E1">
        <w:rPr>
          <w:rFonts w:ascii="PT Astra Sans" w:eastAsia="Times New Roman" w:hAnsi="PT Astra Sans" w:cs="Times New Roman"/>
          <w:sz w:val="28"/>
          <w:szCs w:val="28"/>
          <w:lang w:eastAsia="ru-RU"/>
        </w:rPr>
        <w:t>от «___» ___________ 2022 года № ___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EF39E1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     с. Белозерское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E139F2" w:rsidP="000A4172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E139F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Белозер</w:t>
      </w:r>
      <w:r w:rsidRPr="00E139F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ского муниципального округа Курганской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</w: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8044AB" w:rsidRPr="008044AB" w:rsidRDefault="008044AB" w:rsidP="008044AB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 целях реализации положений Федерального закона от 24 июля 2007 года                        № 209-ФЗ «О развитии малого и среднего предпринимательства в Российской Федерации», руководствуясь пунктом 3 части 1 статьи 16, частью 1 статьи 51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</w:t>
      </w: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 муниципального округа Курганской области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Дума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8044AB" w:rsidRPr="008044AB" w:rsidRDefault="008044AB" w:rsidP="00275332">
      <w:pPr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>РЕШИЛА:</w:t>
      </w:r>
    </w:p>
    <w:p w:rsidR="008044AB" w:rsidRPr="008044AB" w:rsidRDefault="008044AB" w:rsidP="008044AB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1. Утвердить Порядок формирования, ведения, ежегодного дополнения и опубликования перечня муниципального имущества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 согласно приложению 1 к настоящему решению.</w:t>
      </w:r>
    </w:p>
    <w:p w:rsidR="008044AB" w:rsidRPr="008044AB" w:rsidRDefault="008044AB" w:rsidP="008044AB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>2. Утвердить форму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 для опубликования в средствах массовой информации, а также размещения в информационно-телекоммуникационной сети «Интернет»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согласно приложению 2 к настоящему решению.</w:t>
      </w:r>
    </w:p>
    <w:p w:rsidR="00B31C69" w:rsidRDefault="008044AB" w:rsidP="008044AB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>3. Утвердить виды муниципального имущества, которое используется для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формирования перечня муниципального имущества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 согласно приложению 3 к настоящему решению.</w:t>
      </w:r>
    </w:p>
    <w:p w:rsidR="00370F8C" w:rsidRDefault="00370F8C" w:rsidP="008044AB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4. Признать утратившими силу:</w:t>
      </w:r>
    </w:p>
    <w:p w:rsidR="00370F8C" w:rsidRDefault="00370F8C" w:rsidP="008044AB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Белозерской районной Думы от 5 марта 2009 года № 21 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«О порядке формирования, ведения и обязательного опубликования перечня муниципального имущества муниципального образования Белозерского района, предназначенного для предоставления его во владение и (или)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 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370F8C" w:rsidRDefault="00370F8C" w:rsidP="00E723A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Белозерской </w:t>
      </w:r>
      <w:r w:rsidR="00E723AA">
        <w:rPr>
          <w:rFonts w:ascii="PT Astra Sans" w:eastAsia="Times New Roman" w:hAnsi="PT Astra Sans" w:cs="Times New Roman"/>
          <w:sz w:val="24"/>
          <w:szCs w:val="24"/>
          <w:lang w:eastAsia="ru-RU"/>
        </w:rPr>
        <w:t>сельск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ой Думы от </w:t>
      </w:r>
      <w:r w:rsidR="00E723AA" w:rsidRPr="00E723AA">
        <w:rPr>
          <w:rFonts w:ascii="PT Astra Sans" w:eastAsia="Times New Roman" w:hAnsi="PT Astra Sans" w:cs="Times New Roman"/>
          <w:sz w:val="24"/>
          <w:szCs w:val="24"/>
          <w:lang w:eastAsia="ru-RU"/>
        </w:rPr>
        <w:t>30 августа 2019 года № 45-4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E723AA" w:rsidRPr="00E723AA">
        <w:rPr>
          <w:rFonts w:ascii="PT Astra Sans" w:eastAsia="Times New Roman" w:hAnsi="PT Astra Sans" w:cs="Times New Roman"/>
          <w:sz w:val="24"/>
          <w:szCs w:val="24"/>
          <w:lang w:eastAsia="ru-RU"/>
        </w:rPr>
        <w:t>О порядке формирования, ведения и обязательного опубликования Перечня муниципального имущества муниципального образования Белозерского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r w:rsidR="00E723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E723AA" w:rsidRPr="00E723AA">
        <w:rPr>
          <w:rFonts w:ascii="PT Astra Sans" w:eastAsia="Times New Roman" w:hAnsi="PT Astra Sans" w:cs="Times New Roman"/>
          <w:sz w:val="24"/>
          <w:szCs w:val="24"/>
          <w:lang w:eastAsia="ru-RU"/>
        </w:rPr>
        <w:t>среднего предпринимательства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E723AA" w:rsidRDefault="00E723AA" w:rsidP="00E723A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Бор</w:t>
      </w:r>
      <w:r w:rsidR="002C1F10">
        <w:rPr>
          <w:rFonts w:ascii="PT Astra Sans" w:eastAsia="Times New Roman" w:hAnsi="PT Astra Sans" w:cs="Times New Roman"/>
          <w:sz w:val="24"/>
          <w:szCs w:val="24"/>
          <w:lang w:eastAsia="ru-RU"/>
        </w:rPr>
        <w:t>ов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</w:t>
      </w:r>
      <w:r w:rsidR="002C1F10" w:rsidRPr="002C1F10">
        <w:rPr>
          <w:rFonts w:ascii="PT Astra Sans" w:eastAsia="Times New Roman" w:hAnsi="PT Astra Sans" w:cs="Times New Roman"/>
          <w:sz w:val="24"/>
          <w:szCs w:val="24"/>
          <w:lang w:eastAsia="ru-RU"/>
        </w:rPr>
        <w:t>4 марта 2019 года № 7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2C1F10" w:rsidRPr="002C1F10"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Порядка формирования, ведения и обязательного опубликования перечня муниципального имущества Боровского сельсовета, предназначенного для предоставления его во владение и (или)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106D6B" w:rsidRDefault="00106D6B" w:rsidP="00E723A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 w:rsidR="00F202D7"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от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FE7E50" w:rsidRPr="00FE7E50">
        <w:rPr>
          <w:rFonts w:ascii="PT Astra Sans" w:eastAsia="Times New Roman" w:hAnsi="PT Astra Sans" w:cs="Times New Roman"/>
          <w:sz w:val="24"/>
          <w:szCs w:val="24"/>
          <w:lang w:eastAsia="ru-RU"/>
        </w:rPr>
        <w:t>11 июля 2019 года № 5/2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FE7E50" w:rsidRPr="00FE7E5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Порядка формирования, ведения и обязательного обнародования Перечня муниципального имущества </w:t>
      </w:r>
      <w:proofErr w:type="spellStart"/>
      <w:r w:rsidR="00FE7E50" w:rsidRPr="00FE7E50"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Зарослинского</w:t>
      </w:r>
      <w:proofErr w:type="spellEnd"/>
      <w:r w:rsidR="00FE7E50" w:rsidRPr="00FE7E5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 w:rsidR="00FE7E50"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FE7E50" w:rsidRDefault="008C7CCB" w:rsidP="00E723A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Камага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нской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</w:t>
      </w:r>
      <w:r w:rsid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25 июня 2019 года № 6-1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 порядке формирования, ведения и обязательного опубликования перечня муниципального имущества </w:t>
      </w:r>
      <w:proofErr w:type="spellStart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Камаганского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8C7CCB" w:rsidRDefault="008C7CCB" w:rsidP="00E723A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="00426583"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 w:rsid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>Нижнетобольн</w:t>
      </w:r>
      <w:r w:rsidR="00426583"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 w:rsid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>й</w:t>
      </w:r>
      <w:proofErr w:type="spellEnd"/>
      <w:r w:rsidR="00426583"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="00426583"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="00426583"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10 июня 2019 года № 10-1 </w:t>
      </w:r>
      <w:r w:rsid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426583"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>О порядке формирования, ведения и обязательного опубликования перечня муниципального имущества Нижнетобольного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426583" w:rsidRDefault="00426583" w:rsidP="00E723A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="000D516E"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 w:rsidR="000D516E">
        <w:rPr>
          <w:rFonts w:ascii="PT Astra Sans" w:eastAsia="Times New Roman" w:hAnsi="PT Astra Sans" w:cs="Times New Roman"/>
          <w:sz w:val="24"/>
          <w:szCs w:val="24"/>
          <w:lang w:eastAsia="ru-RU"/>
        </w:rPr>
        <w:t>Памятинск</w:t>
      </w:r>
      <w:r w:rsidR="000D516E"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 w:rsidR="000D516E">
        <w:rPr>
          <w:rFonts w:ascii="PT Astra Sans" w:eastAsia="Times New Roman" w:hAnsi="PT Astra Sans" w:cs="Times New Roman"/>
          <w:sz w:val="24"/>
          <w:szCs w:val="24"/>
          <w:lang w:eastAsia="ru-RU"/>
        </w:rPr>
        <w:t>й</w:t>
      </w:r>
      <w:proofErr w:type="spellEnd"/>
      <w:r w:rsidR="000D516E"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="000D516E"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0D516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="000D516E">
        <w:rPr>
          <w:rFonts w:ascii="PT Astra Sans" w:eastAsia="Times New Roman" w:hAnsi="PT Astra Sans" w:cs="Times New Roman"/>
          <w:sz w:val="24"/>
          <w:szCs w:val="24"/>
          <w:lang w:eastAsia="ru-RU"/>
        </w:rPr>
        <w:t>2</w:t>
      </w:r>
      <w:r w:rsidR="000D516E"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 июня 2019 года № </w:t>
      </w:r>
      <w:r w:rsidR="000D516E">
        <w:rPr>
          <w:rFonts w:ascii="PT Astra Sans" w:eastAsia="Times New Roman" w:hAnsi="PT Astra Sans" w:cs="Times New Roman"/>
          <w:sz w:val="24"/>
          <w:szCs w:val="24"/>
          <w:lang w:eastAsia="ru-RU"/>
        </w:rPr>
        <w:t>5</w:t>
      </w:r>
      <w:r w:rsidR="000D516E"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-1 </w:t>
      </w:r>
      <w:r w:rsidR="000D516E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0D516E"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 порядке формирования, ведения и обязательного опубликования перечня муниципального имущества </w:t>
      </w:r>
      <w:proofErr w:type="spellStart"/>
      <w:r w:rsidR="000D516E">
        <w:rPr>
          <w:rFonts w:ascii="PT Astra Sans" w:eastAsia="Times New Roman" w:hAnsi="PT Astra Sans" w:cs="Times New Roman"/>
          <w:sz w:val="24"/>
          <w:szCs w:val="24"/>
          <w:lang w:eastAsia="ru-RU"/>
        </w:rPr>
        <w:t>Памятинск</w:t>
      </w:r>
      <w:r w:rsidR="000D516E"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>ого</w:t>
      </w:r>
      <w:proofErr w:type="spellEnd"/>
      <w:r w:rsidR="000D516E"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</w:t>
      </w:r>
      <w:r w:rsidR="000D516E">
        <w:rPr>
          <w:rFonts w:ascii="PT Astra Sans" w:eastAsia="Times New Roman" w:hAnsi="PT Astra Sans" w:cs="Times New Roman"/>
          <w:sz w:val="24"/>
          <w:szCs w:val="24"/>
          <w:lang w:eastAsia="ru-RU"/>
        </w:rPr>
        <w:t>ам</w:t>
      </w:r>
      <w:r w:rsidR="000D516E"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малого и среднего предпринимательства</w:t>
      </w:r>
      <w:r w:rsidR="000D516E"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EC0B8A" w:rsidRDefault="00EC0B8A" w:rsidP="00E723A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П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ерши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нск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й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>30 июля 2019 года № 3-2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 порядке формирования, ведения и обязательного опубликования (обнародования) перечня муниципального имущества Муниципального образования </w:t>
      </w:r>
      <w:proofErr w:type="spellStart"/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>Першинского</w:t>
      </w:r>
      <w:proofErr w:type="spellEnd"/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proofErr w:type="gramStart"/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>сельсовета</w:t>
      </w:r>
      <w:proofErr w:type="gram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>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EC0B8A" w:rsidRDefault="00157943" w:rsidP="00E723A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П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ья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нк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вско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11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апре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>ля 201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8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года № 3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/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>2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П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орядке формирования, ведения и обязательного опубликования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П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еречня муниципального имущества Муниципального образования </w:t>
      </w:r>
      <w:proofErr w:type="spellStart"/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>П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ьянков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</w:t>
      </w:r>
      <w:proofErr w:type="spellEnd"/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>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6700FC" w:rsidRDefault="006700FC" w:rsidP="00E723A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Речкин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Pr="006700FC">
        <w:rPr>
          <w:rFonts w:ascii="PT Astra Sans" w:eastAsia="Times New Roman" w:hAnsi="PT Astra Sans" w:cs="Times New Roman"/>
          <w:sz w:val="24"/>
          <w:szCs w:val="24"/>
          <w:lang w:eastAsia="ru-RU"/>
        </w:rPr>
        <w:t>10 июня 2019 года №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6700FC">
        <w:rPr>
          <w:rFonts w:ascii="PT Astra Sans" w:eastAsia="Times New Roman" w:hAnsi="PT Astra Sans" w:cs="Times New Roman"/>
          <w:sz w:val="24"/>
          <w:szCs w:val="24"/>
          <w:lang w:eastAsia="ru-RU"/>
        </w:rPr>
        <w:t>3-3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Pr="006700F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 порядке формирования, ведения и обязательного опубликования перечня муниципального имущества муниципального образования </w:t>
      </w:r>
      <w:proofErr w:type="spellStart"/>
      <w:r w:rsidRPr="006700FC">
        <w:rPr>
          <w:rFonts w:ascii="PT Astra Sans" w:eastAsia="Times New Roman" w:hAnsi="PT Astra Sans" w:cs="Times New Roman"/>
          <w:sz w:val="24"/>
          <w:szCs w:val="24"/>
          <w:lang w:eastAsia="ru-RU"/>
        </w:rPr>
        <w:t>Речкинского</w:t>
      </w:r>
      <w:proofErr w:type="spellEnd"/>
      <w:r w:rsidRPr="006700F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proofErr w:type="gramStart"/>
      <w:r w:rsidRPr="006700FC">
        <w:rPr>
          <w:rFonts w:ascii="PT Astra Sans" w:eastAsia="Times New Roman" w:hAnsi="PT Astra Sans" w:cs="Times New Roman"/>
          <w:sz w:val="24"/>
          <w:szCs w:val="24"/>
          <w:lang w:eastAsia="ru-RU"/>
        </w:rPr>
        <w:t>сельсовета</w:t>
      </w:r>
      <w:proofErr w:type="gramEnd"/>
      <w:r w:rsidRPr="006700F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711279" w:rsidRDefault="00711279" w:rsidP="00E723A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Р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ы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чк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ов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Pr="00711279">
        <w:rPr>
          <w:rFonts w:ascii="PT Astra Sans" w:eastAsia="Times New Roman" w:hAnsi="PT Astra Sans" w:cs="Times New Roman"/>
          <w:sz w:val="24"/>
          <w:szCs w:val="24"/>
          <w:lang w:eastAsia="ru-RU"/>
        </w:rPr>
        <w:t>21 июня 2019 года № 6-2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Pr="0071127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 порядке формирования, ведения и обязательного опубликования перечня муниципального имущества муниципального образования </w:t>
      </w:r>
      <w:proofErr w:type="spellStart"/>
      <w:r w:rsidRPr="00711279">
        <w:rPr>
          <w:rFonts w:ascii="PT Astra Sans" w:eastAsia="Times New Roman" w:hAnsi="PT Astra Sans" w:cs="Times New Roman"/>
          <w:sz w:val="24"/>
          <w:szCs w:val="24"/>
          <w:lang w:eastAsia="ru-RU"/>
        </w:rPr>
        <w:t>Рычковского</w:t>
      </w:r>
      <w:proofErr w:type="spellEnd"/>
      <w:r w:rsidRPr="0071127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proofErr w:type="gramStart"/>
      <w:r w:rsidRPr="00711279">
        <w:rPr>
          <w:rFonts w:ascii="PT Astra Sans" w:eastAsia="Times New Roman" w:hAnsi="PT Astra Sans" w:cs="Times New Roman"/>
          <w:sz w:val="24"/>
          <w:szCs w:val="24"/>
          <w:lang w:eastAsia="ru-RU"/>
        </w:rPr>
        <w:t>сельсовета</w:t>
      </w:r>
      <w:proofErr w:type="gramEnd"/>
      <w:r w:rsidRPr="0071127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711279" w:rsidRDefault="009D01AC" w:rsidP="00E723A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Светлодоль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9 августа</w:t>
      </w:r>
      <w:r w:rsidRPr="0071127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2019 года № 6-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3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Pr="0071127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 порядке формирования, ведения и обязательного опубликования перечня муниципального имущества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Светлодоль</w:t>
      </w:r>
      <w:r w:rsidRPr="00711279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</w:t>
      </w:r>
      <w:proofErr w:type="spellEnd"/>
      <w:r w:rsidRPr="0071127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Pr="0071127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267326" w:rsidRDefault="00267326" w:rsidP="00E723A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катин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от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26732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21 июня 2019 года № 5-2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Pr="0026732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 порядке формирования, ведения и обязательного обнародования перечня муниципального имущества Муниципального образования </w:t>
      </w:r>
      <w:proofErr w:type="spellStart"/>
      <w:r w:rsidRPr="00267326">
        <w:rPr>
          <w:rFonts w:ascii="PT Astra Sans" w:eastAsia="Times New Roman" w:hAnsi="PT Astra Sans" w:cs="Times New Roman"/>
          <w:sz w:val="24"/>
          <w:szCs w:val="24"/>
          <w:lang w:eastAsia="ru-RU"/>
        </w:rPr>
        <w:t>Скатинского</w:t>
      </w:r>
      <w:proofErr w:type="spellEnd"/>
      <w:r w:rsidRPr="0026732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1B0031" w:rsidRDefault="001B0031" w:rsidP="00E723A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Ск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оп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инской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от</w:t>
      </w:r>
      <w:r w:rsidRPr="001B00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18 июля 2019 года №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B00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03-02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Pr="001B00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 порядке формирования, ведения и обязательного опубликования перечня муниципального имущества муниципального образования </w:t>
      </w:r>
      <w:proofErr w:type="spellStart"/>
      <w:r w:rsidRPr="001B0031">
        <w:rPr>
          <w:rFonts w:ascii="PT Astra Sans" w:eastAsia="Times New Roman" w:hAnsi="PT Astra Sans" w:cs="Times New Roman"/>
          <w:sz w:val="24"/>
          <w:szCs w:val="24"/>
          <w:lang w:eastAsia="ru-RU"/>
        </w:rPr>
        <w:t>Скопинского</w:t>
      </w:r>
      <w:proofErr w:type="spellEnd"/>
      <w:r w:rsidRPr="001B00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proofErr w:type="gramStart"/>
      <w:r w:rsidRPr="001B0031">
        <w:rPr>
          <w:rFonts w:ascii="PT Astra Sans" w:eastAsia="Times New Roman" w:hAnsi="PT Astra Sans" w:cs="Times New Roman"/>
          <w:sz w:val="24"/>
          <w:szCs w:val="24"/>
          <w:lang w:eastAsia="ru-RU"/>
        </w:rPr>
        <w:t>сельсовета</w:t>
      </w:r>
      <w:proofErr w:type="gramEnd"/>
      <w:r w:rsidRPr="001B00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1B0031" w:rsidRDefault="00BF4960" w:rsidP="00E723A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Ягодни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нской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от</w:t>
      </w:r>
      <w:r w:rsidRPr="00BF496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21</w:t>
      </w:r>
      <w:r w:rsidRPr="00BF4960">
        <w:rPr>
          <w:rFonts w:ascii="PT Astra Sans" w:hAnsi="PT Astra Sans" w:cs="Times New Roman"/>
          <w:sz w:val="24"/>
          <w:szCs w:val="24"/>
        </w:rPr>
        <w:t xml:space="preserve"> июня 2019 г</w:t>
      </w:r>
      <w:r>
        <w:rPr>
          <w:rFonts w:ascii="PT Astra Sans" w:hAnsi="PT Astra Sans" w:cs="Times New Roman"/>
          <w:sz w:val="24"/>
          <w:szCs w:val="24"/>
        </w:rPr>
        <w:t>ода</w:t>
      </w:r>
      <w:r w:rsidRPr="00BF4960">
        <w:rPr>
          <w:rFonts w:ascii="PT Astra Sans" w:hAnsi="PT Astra Sans" w:cs="Times New Roman"/>
          <w:sz w:val="24"/>
          <w:szCs w:val="24"/>
        </w:rPr>
        <w:t xml:space="preserve"> № 5-1</w:t>
      </w:r>
      <w:r>
        <w:rPr>
          <w:rFonts w:ascii="PT Astra Sans" w:hAnsi="PT Astra Sans" w:cs="Times New Roman"/>
          <w:sz w:val="24"/>
          <w:szCs w:val="24"/>
        </w:rPr>
        <w:t xml:space="preserve"> «</w:t>
      </w:r>
      <w:r w:rsidRPr="00BF496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 порядке формирования, ведения и обязательного опубликования перечня муниципального имущества муниципального образования </w:t>
      </w:r>
      <w:proofErr w:type="spellStart"/>
      <w:r w:rsidRPr="00BF4960">
        <w:rPr>
          <w:rFonts w:ascii="PT Astra Sans" w:eastAsia="Times New Roman" w:hAnsi="PT Astra Sans" w:cs="Times New Roman"/>
          <w:sz w:val="24"/>
          <w:szCs w:val="24"/>
          <w:lang w:eastAsia="ru-RU"/>
        </w:rPr>
        <w:t>Ягоднинского</w:t>
      </w:r>
      <w:proofErr w:type="spellEnd"/>
      <w:r w:rsidRPr="00BF496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».</w:t>
      </w:r>
    </w:p>
    <w:p w:rsidR="00B31C69" w:rsidRPr="000A4172" w:rsidRDefault="00275332" w:rsidP="00FA0076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5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="00593A9A">
        <w:rPr>
          <w:rFonts w:ascii="PT Astra Sans" w:eastAsia="Times New Roman" w:hAnsi="PT Astra Sans" w:cs="Times New Roman"/>
          <w:sz w:val="24"/>
          <w:szCs w:val="24"/>
          <w:lang w:eastAsia="ru-RU"/>
        </w:rPr>
        <w:t>Н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астоящее решение </w:t>
      </w:r>
      <w:r w:rsidR="00593A9A">
        <w:rPr>
          <w:rFonts w:ascii="PT Astra Sans" w:eastAsia="Times New Roman" w:hAnsi="PT Astra Sans" w:cs="Times New Roman"/>
          <w:sz w:val="24"/>
          <w:szCs w:val="24"/>
          <w:lang w:eastAsia="ru-RU"/>
        </w:rPr>
        <w:t>р</w:t>
      </w:r>
      <w:r w:rsidR="00593A9A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азместить 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B31C69" w:rsidRPr="000A4172" w:rsidRDefault="00275332" w:rsidP="00FA0076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="0068430E">
        <w:rPr>
          <w:rFonts w:ascii="PT Astra Sans" w:eastAsia="Times New Roman" w:hAnsi="PT Astra Sans" w:cs="Times New Roman"/>
          <w:sz w:val="24"/>
          <w:szCs w:val="24"/>
          <w:lang w:eastAsia="ru-RU"/>
        </w:rPr>
        <w:t>Р</w:t>
      </w:r>
      <w:r w:rsidR="0068430E" w:rsidRPr="0068430E">
        <w:rPr>
          <w:rFonts w:ascii="PT Astra Sans" w:eastAsia="Times New Roman" w:hAnsi="PT Astra Sans" w:cs="Times New Roman"/>
          <w:sz w:val="24"/>
          <w:szCs w:val="24"/>
          <w:lang w:eastAsia="ru-RU"/>
        </w:rPr>
        <w:t>ешение вступает в силу с момента подписания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B31C69" w:rsidRPr="000A4172" w:rsidRDefault="00B31C69" w:rsidP="00FA0076">
      <w:pPr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122BE4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Председатель Думы </w:t>
      </w:r>
    </w:p>
    <w:p w:rsidR="00B31C69" w:rsidRPr="000A4172" w:rsidRDefault="00CD0F67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122BE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округа</w:t>
      </w:r>
      <w:r w:rsidR="007C27D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</w:t>
      </w:r>
      <w:r w:rsidR="00122BE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</w:t>
      </w:r>
      <w:r w:rsidR="007C27D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П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А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Макаров</w:t>
      </w: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122BE4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Глава </w:t>
      </w:r>
    </w:p>
    <w:p w:rsidR="00B31C69" w:rsidRPr="000A4172" w:rsidRDefault="00CD0F67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</w:t>
      </w:r>
      <w:r w:rsidR="00122BE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А.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Завьяло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</w:p>
    <w:p w:rsidR="00CD0F67" w:rsidRPr="000A4172" w:rsidRDefault="00CD0F67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F39E1" w:rsidRDefault="00EF39E1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93A9A" w:rsidRDefault="00593A9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93A9A" w:rsidRDefault="00593A9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93A9A" w:rsidRDefault="00593A9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93A9A" w:rsidRDefault="00593A9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93A9A" w:rsidRDefault="00593A9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93A9A" w:rsidRDefault="00593A9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93A9A" w:rsidRDefault="00593A9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93A9A" w:rsidRDefault="00593A9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93A9A" w:rsidRDefault="00593A9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93A9A" w:rsidRDefault="00593A9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44"/>
      </w:tblGrid>
      <w:tr w:rsidR="00FA0076" w:rsidRPr="000A4172" w:rsidTr="00616E75">
        <w:tc>
          <w:tcPr>
            <w:tcW w:w="4361" w:type="dxa"/>
          </w:tcPr>
          <w:p w:rsidR="00FA0076" w:rsidRPr="000A4172" w:rsidRDefault="00FA0076" w:rsidP="00B31C69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FA0076" w:rsidRPr="000A4172" w:rsidRDefault="00FA0076" w:rsidP="00FA0076">
            <w:pPr>
              <w:shd w:val="clear" w:color="auto" w:fill="FFFFFF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  <w:r w:rsidR="006F78EC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1</w:t>
            </w:r>
          </w:p>
          <w:p w:rsidR="007C27DD" w:rsidRDefault="00FA0076" w:rsidP="00FA0076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CD0F67" w:rsidRPr="000A4172" w:rsidRDefault="00FA0076" w:rsidP="00FA0076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CD0F67"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«___» 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__________ 2022 года № ___ </w:t>
            </w:r>
          </w:p>
          <w:p w:rsidR="00FA0076" w:rsidRPr="000A4172" w:rsidRDefault="00FA0076" w:rsidP="00593A9A">
            <w:pPr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432F5E" w:rsidRPr="00432F5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Об утверждении Порядка </w:t>
            </w:r>
            <w:r w:rsidR="00616E75" w:rsidRPr="00616E75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формирования, ведения, ежегодного дополнения и опубликования перечня муниципального имущества Белозерского муниципального округа Курганской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</w:t>
            </w:r>
            <w:r w:rsidR="00616E75" w:rsidRPr="00616E75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lastRenderedPageBreak/>
              <w:t>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FA0076" w:rsidRPr="000A4172" w:rsidRDefault="00FA0076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FA0076" w:rsidRPr="000A4172" w:rsidRDefault="00FA0076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FA0076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ПО</w:t>
      </w:r>
      <w:r w:rsidR="00432F5E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РЯДОК</w:t>
      </w:r>
    </w:p>
    <w:p w:rsidR="00B31C69" w:rsidRPr="000A4172" w:rsidRDefault="002411FA" w:rsidP="00593A9A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2411FA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формирования, ведения, ежегодного дополнения и опубликования перечня муниципального имущества Белозерского муниципального округа Курганской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</w:r>
    </w:p>
    <w:p w:rsidR="00F60E1F" w:rsidRPr="000A4172" w:rsidRDefault="00F60E1F" w:rsidP="00B31C69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Раздел I. Общие положения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1. Настоящий Порядок определяет правила формирования, ведения, ежегодного дополнения и опубликования перечня муниципального имущества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Федерации.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Раздел II. Цели создания и основные принципы формирования, ведения, ежегодного дополнения и опубликования Перечня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2. В Перечне содержатся сведения о муниципальном имуществе,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 июля 2007 года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Федерации, с возможностью отчуждения на возмездной основе в собственность в соответствии с Федеральным законом от 22 июля 2008 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3. Формирование Перечня осуществляется в целях: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1) обеспечения доступности информации об имуществе, включенном в Перечень, для субъектов малого и среднего предпринимательства, организаций образующих инфраструктуру поддержки субъектов малого и среднего предпринимательства и иных лиц, установленных действующим законодательством Российской Федерации;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2) предоставления имущества, принадлежащего на праве собственности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скому муниципальному округу Курганской области во владение и (или) пользование на долгосрочной основе (в том числе </w:t>
      </w:r>
      <w:proofErr w:type="spell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возмездно</w:t>
      </w:r>
      <w:proofErr w:type="spellEnd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, безвозмездно и по льготным ставкам арендной платы) субъектам малого и среднего </w:t>
      </w:r>
      <w:proofErr w:type="gram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предпринимательства,  организациям</w:t>
      </w:r>
      <w:proofErr w:type="gramEnd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3) реализации полномочий муниципального образования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в сфере оказания имущественной поддержки субъектам малого и среднего предпринимательства, организациям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4) повышения эффективности управления муниципальным имуществом, находящимся в собственности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стимулирования развития малого и среднего предпринимательства, на территории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4. Формирование и ведение Перечня основывается на следующих основных принципах: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1) достоверность данных об имуществе, включаемом в Перечень, и поддержание актуальности информации об имуществе, включенном в Перечень;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2) ежегодная актуализация Перечня (на системной основе в течение текущего года, но не позднее 1 ноября), осуществляемая на основе предложений, в том числе внесенных по итогам заседаний коллегиального органа в Администрации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по обеспечению взаимодействия исполнительных органов власти Курганской области с территориальным органом </w:t>
      </w:r>
      <w:proofErr w:type="spell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Росимущества</w:t>
      </w:r>
      <w:proofErr w:type="spellEnd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 Курганской области и органами местного самоуправления по вопросам оказания имущественной поддержки субъектам малого и среднего предпринимательства, организациям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3)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229B2" w:rsidRPr="005B1FCA" w:rsidRDefault="003229B2" w:rsidP="005B1FCA">
      <w:pPr>
        <w:shd w:val="clear" w:color="auto" w:fill="FFFFFF"/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5B1FCA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Раздел III. Формирование, ведение Перечня, внесение в него изменений, в том числе ежегодное дополнение Перечня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5. Изменения и ежегодное дополнение в Перечень утверждаются распоряжением Администрации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6. Формирование и ведение Перечня осуществляется Отделом </w:t>
      </w:r>
      <w:r w:rsidR="00D05D57">
        <w:rPr>
          <w:rFonts w:ascii="PT Astra Sans" w:eastAsia="Times New Roman" w:hAnsi="PT Astra Sans" w:cs="Times New Roman"/>
          <w:sz w:val="24"/>
          <w:szCs w:val="24"/>
          <w:lang w:eastAsia="ru-RU"/>
        </w:rPr>
        <w:t>имущественных и земельных отношений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7. В Перечень вносятся сведения об имуществе, соответствующем следующим критериям: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3) имущество не является объектом религиозного назначения;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4)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5) имущество не включено в действующий в текущем году акт и на очередной период о планировании приватизации муниципального имущества, принятый в соответствии с Федеральным законом от 21</w:t>
      </w:r>
      <w:r w:rsidR="00D05D57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декабря 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2001 г</w:t>
      </w:r>
      <w:r w:rsidR="00D05D57"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178-ФЗ «О приватизации государственного и муниципального имущества», а также в Перечень имущества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6) имущество не признано аварийным и подлежащим сносу;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7)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8)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9)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10)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 в целях предоставления такого имущества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11)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действующим законодательством Российской Федерации не допускается, а также не является частью неделимой вещи;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12) движимое имущество обладает индивидуально-определенными признаками, позволяющими заключить в отношении него договор аренды или иной гражданско-правовой договор;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13) в отношении имущества, арендуемого субъектом малого и среднего предпринимательства (далее – МСП), в течение менее трех лет, арендатор не направил возражения на включение в Перечень;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14) в отношении имущества заключен договор аренды или иной договор о передаче во владение и (или) в пользование, срок действия которого составляет не менее пяти лет.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8.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 xml:space="preserve">9. Сведения об имуществе группируются в Перечне по населенным пунктам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на территории которых имущество расположено, а также по видам имущества (недвижимое имущество, в том числе единый недвижимый комплекс, земельные участки, движимое имущество).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10. Внесение сведений об имуществе в Перечень (в том числе ежегодное дополнение), а также исключение сведений об имуществе из Перечня осуществляются распоряжением Администрации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по его инициативе или на основании предложений органов местного самоуправления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 коллегиального органа в Администрации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по обеспечению взаимодействия с предпринимателями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предпринимательства.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11. Рассмотрение уполномоченным органом предложений, поступивших от лиц, указанных в пункте 10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1)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2)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3)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12. Решение об отказе в учете предложения о включении имущества в Перечень принимается в следующих случаях: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1) имущество не соответствует критериям, установленным пунктом 3.3. настоящего Порядка;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2)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балансодержателя;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3)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13. Уполномоченный орган вправе исключить сведения о муниципальном имуществе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 и иных лиц, установленных действующим законодательством Российской Федерации, не поступило: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–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– ни одного предложения (заявления) о предоставлении имущества, включая земельные участки, в том числе без проведения аукциона (конкурса) в случаях, 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предусмотренных Федеральным законом от 26 июля 2006 года № 135-ФЗ «О защите конкуренции», Земельным кодексом Российской Федерации.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14. Сведения о муниципальном имуществе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подлежат исключению из Перечня, в следующих случаях: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1) в отношении имущества в установленном действующим законодательством Российской Федерации порядке принято решение о его использовании для муниципальных нужд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2) право собственности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на имущество прекращено по решению суда или в ином установленном законом порядке;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3) прекращение существования имущества в результате его гибели или уничтожения;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4) имущество признано в установленном действующим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5) имущество приобретено его арендатором в собственность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15.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предпринимательства, организации образующей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Федерации, на условиях, обеспечивающих проведение его капитального ремонта и (или) реконструкции арендатором.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16.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14 настоящего Порядка, за исключением подпункта 5 пункта 14 настоящего Порядка. 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229B2" w:rsidRPr="00DA6984" w:rsidRDefault="003229B2" w:rsidP="00DA6984">
      <w:pPr>
        <w:shd w:val="clear" w:color="auto" w:fill="FFFFFF"/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DA6984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Раздел IV. Опубликование Перечня и предоставление сведений о включенном в него имуществе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17. Уполномоченный орган: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1)</w:t>
      </w:r>
      <w:r w:rsidR="00DA698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обеспечивает опубликование Перечня или изменений в Перечень в средствах массовой информации, определенных для официального опубликования правовых актов органов местного самоуправления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в течение 10 рабочих дней со дня их утверждения по форме согласно приложению 2 к настоящему решению;</w:t>
      </w:r>
    </w:p>
    <w:p w:rsidR="003229B2" w:rsidRPr="003229B2" w:rsidRDefault="003229B2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2)</w:t>
      </w:r>
      <w:r w:rsidR="00DA698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Перечень;</w:t>
      </w:r>
    </w:p>
    <w:p w:rsidR="003229B2" w:rsidRPr="003229B2" w:rsidRDefault="00DA6984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3) </w:t>
      </w:r>
      <w:r w:rsidR="003229B2"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предоставляет в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а</w:t>
      </w:r>
      <w:r w:rsidR="003229B2"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кционерное общество «Федеральная корпорация по развитию малого и среднего предпринимательства» сведения о Перечне и изменениях в </w:t>
      </w:r>
      <w:r w:rsidR="003229B2"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него в порядке, по форме и в сроки, установленные приказом Министерства экономического развития Российской Федерации от 20 апреля 2016 года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от 24 июля 2007 года № 209-ФЗ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6D7541" w:rsidRDefault="006D7541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753D99">
      <w:pPr>
        <w:rPr>
          <w:rFonts w:ascii="PT Astra Sans" w:eastAsia="Times New Roman" w:hAnsi="PT Astra Sans" w:cs="Times New Roman"/>
          <w:sz w:val="24"/>
          <w:szCs w:val="24"/>
          <w:lang w:eastAsia="ru-RU"/>
        </w:rPr>
        <w:sectPr w:rsidR="006F78EC" w:rsidSect="00B31C69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0348"/>
      </w:tblGrid>
      <w:tr w:rsidR="006F78EC" w:rsidRPr="000A4172" w:rsidTr="006F78EC">
        <w:tc>
          <w:tcPr>
            <w:tcW w:w="4361" w:type="dxa"/>
          </w:tcPr>
          <w:p w:rsidR="006F78EC" w:rsidRPr="000A4172" w:rsidRDefault="006F78EC" w:rsidP="00753D99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:rsidR="006F78EC" w:rsidRDefault="006F78EC" w:rsidP="006F78EC">
            <w:pPr>
              <w:shd w:val="clear" w:color="auto" w:fill="FFFFFF"/>
              <w:ind w:left="4428" w:right="-142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  <w:r w:rsidR="00241E26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</w:t>
            </w:r>
          </w:p>
          <w:p w:rsidR="006F78EC" w:rsidRDefault="006F78EC" w:rsidP="006F78EC">
            <w:pPr>
              <w:shd w:val="clear" w:color="auto" w:fill="FFFFFF"/>
              <w:ind w:left="4428" w:right="-142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к решению Думы Белозерского муниципального округа</w:t>
            </w:r>
          </w:p>
          <w:p w:rsidR="006F78EC" w:rsidRDefault="006F78EC" w:rsidP="006F78EC">
            <w:pPr>
              <w:shd w:val="clear" w:color="auto" w:fill="FFFFFF"/>
              <w:ind w:left="4428" w:right="-142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Курганской области </w:t>
            </w:r>
          </w:p>
          <w:p w:rsidR="006F78EC" w:rsidRPr="000A4172" w:rsidRDefault="006F78EC" w:rsidP="006F78EC">
            <w:pPr>
              <w:ind w:left="4428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«___» __________ 2022 года № ___ </w:t>
            </w:r>
          </w:p>
          <w:p w:rsidR="006F78EC" w:rsidRDefault="006F78EC" w:rsidP="006F78EC">
            <w:pPr>
              <w:ind w:left="4428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Pr="00432F5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Об утверждении Порядка </w:t>
            </w:r>
            <w:r w:rsidRPr="00616E75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формирования, ведения, ежегодного дополнения и опубликования перечня муниципального имущества Белозерского муниципального округа Курганской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»</w:t>
            </w:r>
          </w:p>
          <w:p w:rsidR="00241E26" w:rsidRPr="000A4172" w:rsidRDefault="00241E26" w:rsidP="006F78EC">
            <w:pPr>
              <w:ind w:left="4428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</w:tr>
    </w:tbl>
    <w:p w:rsidR="006F78EC" w:rsidRDefault="006F78EC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241E26" w:rsidRDefault="00241E26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241E26" w:rsidRDefault="00241E26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241E26" w:rsidRDefault="00241E26" w:rsidP="00241E26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241E26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Ф</w:t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ОРМА ПЕРЕЧНЯ</w:t>
      </w:r>
    </w:p>
    <w:p w:rsidR="00241E26" w:rsidRPr="00241E26" w:rsidRDefault="00241E26" w:rsidP="00241E26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241E26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муниципального имущества, предназначенного для предоставления </w:t>
      </w:r>
    </w:p>
    <w:p w:rsidR="00241E26" w:rsidRDefault="00241E26" w:rsidP="00241E26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</w:pPr>
      <w:r w:rsidRPr="00241E26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Pr="00241E26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 и иным лицам, установленным действующим законодательством </w:t>
      </w:r>
    </w:p>
    <w:p w:rsidR="00241E26" w:rsidRPr="00241E26" w:rsidRDefault="00241E26" w:rsidP="00241E26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ahoma"/>
          <w:b/>
          <w:sz w:val="24"/>
          <w:szCs w:val="24"/>
          <w:lang w:eastAsia="ru-RU"/>
        </w:rPr>
      </w:pPr>
      <w:r w:rsidRPr="00241E26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>Российской Федерации</w:t>
      </w:r>
    </w:p>
    <w:p w:rsidR="00241E26" w:rsidRPr="00241E26" w:rsidRDefault="00241E26" w:rsidP="00241E26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ahoma"/>
          <w:b/>
          <w:sz w:val="24"/>
          <w:szCs w:val="24"/>
          <w:lang w:eastAsia="ru-RU"/>
        </w:rPr>
      </w:pP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059"/>
        <w:gridCol w:w="1733"/>
        <w:gridCol w:w="1654"/>
        <w:gridCol w:w="3945"/>
        <w:gridCol w:w="2823"/>
        <w:gridCol w:w="2033"/>
      </w:tblGrid>
      <w:tr w:rsidR="00241E26" w:rsidRPr="00241E26" w:rsidTr="00753D99">
        <w:trPr>
          <w:trHeight w:val="206"/>
          <w:tblCellSpacing w:w="0" w:type="dxa"/>
        </w:trPr>
        <w:tc>
          <w:tcPr>
            <w:tcW w:w="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№ п/п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Адрес (местоположение) объекта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Вид объекта недвижимости;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тип движимого имущества</w:t>
            </w:r>
          </w:p>
        </w:tc>
        <w:tc>
          <w:tcPr>
            <w:tcW w:w="12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Наименование объекта учета</w:t>
            </w:r>
          </w:p>
        </w:tc>
        <w:tc>
          <w:tcPr>
            <w:tcW w:w="6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06" w:lineRule="atLeast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Сведения о недвижимом имуществе</w:t>
            </w:r>
          </w:p>
        </w:tc>
      </w:tr>
      <w:tr w:rsidR="00241E26" w:rsidRPr="00241E26" w:rsidTr="00753D99">
        <w:trPr>
          <w:trHeight w:val="2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6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06" w:lineRule="atLeast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Основная характеристика объекта недвижимости</w:t>
            </w:r>
          </w:p>
        </w:tc>
      </w:tr>
      <w:tr w:rsidR="00241E26" w:rsidRPr="00241E26" w:rsidTr="00753D99">
        <w:trPr>
          <w:trHeight w:val="42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241E26" w:rsidRPr="00241E26" w:rsidTr="00753D99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4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6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7</w:t>
            </w:r>
          </w:p>
        </w:tc>
      </w:tr>
    </w:tbl>
    <w:p w:rsidR="00241E26" w:rsidRPr="00241E26" w:rsidRDefault="00241E26" w:rsidP="00241E26">
      <w:pPr>
        <w:shd w:val="clear" w:color="auto" w:fill="FFFFFF"/>
        <w:spacing w:after="0" w:line="240" w:lineRule="auto"/>
        <w:rPr>
          <w:rFonts w:ascii="PT Astra Sans" w:eastAsia="Times New Roman" w:hAnsi="PT Astra Sans" w:cs="Tahoma"/>
          <w:sz w:val="14"/>
          <w:szCs w:val="14"/>
          <w:lang w:eastAsia="ru-RU"/>
        </w:rPr>
      </w:pPr>
      <w:r w:rsidRPr="00241E26">
        <w:rPr>
          <w:rFonts w:ascii="PT Astra Sans" w:eastAsia="Times New Roman" w:hAnsi="PT Astra Sans" w:cs="Tahoma"/>
          <w:sz w:val="14"/>
          <w:szCs w:val="14"/>
          <w:lang w:eastAsia="ru-RU"/>
        </w:rPr>
        <w:t> </w:t>
      </w:r>
    </w:p>
    <w:p w:rsidR="00241E26" w:rsidRPr="00241E26" w:rsidRDefault="00241E26" w:rsidP="00241E26">
      <w:pPr>
        <w:shd w:val="clear" w:color="auto" w:fill="FFFFFF"/>
        <w:spacing w:after="0" w:line="240" w:lineRule="auto"/>
        <w:rPr>
          <w:rFonts w:ascii="PT Astra Sans" w:eastAsia="Times New Roman" w:hAnsi="PT Astra Sans" w:cs="Tahoma"/>
          <w:sz w:val="14"/>
          <w:szCs w:val="14"/>
          <w:lang w:eastAsia="ru-RU"/>
        </w:rPr>
      </w:pPr>
    </w:p>
    <w:p w:rsidR="00241E26" w:rsidRPr="00241E26" w:rsidRDefault="00241E26" w:rsidP="00241E26">
      <w:pPr>
        <w:shd w:val="clear" w:color="auto" w:fill="FFFFFF"/>
        <w:spacing w:after="0" w:line="240" w:lineRule="auto"/>
        <w:rPr>
          <w:rFonts w:ascii="PT Astra Sans" w:eastAsia="Times New Roman" w:hAnsi="PT Astra Sans" w:cs="Tahoma"/>
          <w:sz w:val="14"/>
          <w:szCs w:val="14"/>
          <w:lang w:eastAsia="ru-RU"/>
        </w:rPr>
      </w:pPr>
    </w:p>
    <w:tbl>
      <w:tblPr>
        <w:tblW w:w="14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1983"/>
        <w:gridCol w:w="1983"/>
        <w:gridCol w:w="1327"/>
        <w:gridCol w:w="1888"/>
        <w:gridCol w:w="2254"/>
        <w:gridCol w:w="929"/>
        <w:gridCol w:w="1117"/>
        <w:gridCol w:w="2328"/>
      </w:tblGrid>
      <w:tr w:rsidR="00241E26" w:rsidRPr="00241E26" w:rsidTr="00753D99">
        <w:trPr>
          <w:trHeight w:val="206"/>
          <w:tblCellSpacing w:w="0" w:type="dxa"/>
        </w:trPr>
        <w:tc>
          <w:tcPr>
            <w:tcW w:w="63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  <w:p w:rsidR="00241E26" w:rsidRPr="00241E26" w:rsidRDefault="00241E26" w:rsidP="00241E26">
            <w:pPr>
              <w:spacing w:after="0" w:line="206" w:lineRule="atLeast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Сведения о недвижимом имуществе</w:t>
            </w:r>
          </w:p>
        </w:tc>
        <w:tc>
          <w:tcPr>
            <w:tcW w:w="485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06" w:lineRule="atLeast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Сведения о движимом имуществе</w:t>
            </w:r>
          </w:p>
        </w:tc>
      </w:tr>
      <w:tr w:rsidR="00241E26" w:rsidRPr="00241E26" w:rsidTr="00753D99">
        <w:trPr>
          <w:trHeight w:val="206"/>
          <w:tblCellSpacing w:w="0" w:type="dxa"/>
        </w:trPr>
        <w:tc>
          <w:tcPr>
            <w:tcW w:w="2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06" w:lineRule="atLeast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6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06" w:lineRule="atLeast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9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06" w:lineRule="atLeast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06" w:lineRule="atLeast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</w:tr>
      <w:tr w:rsidR="00241E26" w:rsidRPr="00241E26" w:rsidTr="00753D99">
        <w:trPr>
          <w:trHeight w:val="1566"/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Состав (принадлежности) имущества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</w:tr>
      <w:tr w:rsidR="00241E26" w:rsidRPr="00241E26" w:rsidTr="00753D99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241E26" w:rsidRPr="00241E26" w:rsidRDefault="00241E26" w:rsidP="00241E26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ahoma"/>
          <w:sz w:val="14"/>
          <w:szCs w:val="14"/>
          <w:lang w:eastAsia="ru-RU"/>
        </w:rPr>
      </w:pPr>
    </w:p>
    <w:p w:rsidR="00241E26" w:rsidRPr="00241E26" w:rsidRDefault="00241E26" w:rsidP="00241E26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ahoma"/>
          <w:sz w:val="14"/>
          <w:szCs w:val="14"/>
          <w:lang w:eastAsia="ru-RU"/>
        </w:rPr>
      </w:pPr>
    </w:p>
    <w:tbl>
      <w:tblPr>
        <w:tblW w:w="109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1386"/>
        <w:gridCol w:w="1757"/>
        <w:gridCol w:w="1555"/>
        <w:gridCol w:w="1757"/>
        <w:gridCol w:w="1353"/>
        <w:gridCol w:w="1327"/>
      </w:tblGrid>
      <w:tr w:rsidR="00241E26" w:rsidRPr="00241E26" w:rsidTr="00753D99">
        <w:trPr>
          <w:tblCellSpacing w:w="0" w:type="dxa"/>
        </w:trPr>
        <w:tc>
          <w:tcPr>
            <w:tcW w:w="1090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241E26" w:rsidRPr="00241E26" w:rsidTr="00753D99">
        <w:trPr>
          <w:tblCellSpacing w:w="0" w:type="dxa"/>
        </w:trPr>
        <w:tc>
          <w:tcPr>
            <w:tcW w:w="4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3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Наименование правообладателя</w:t>
            </w:r>
          </w:p>
        </w:tc>
        <w:tc>
          <w:tcPr>
            <w:tcW w:w="10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ИНН правообладателя</w:t>
            </w:r>
          </w:p>
        </w:tc>
        <w:tc>
          <w:tcPr>
            <w:tcW w:w="15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1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241E26" w:rsidRPr="00241E26" w:rsidTr="00753D99">
        <w:trPr>
          <w:tblCellSpacing w:w="0" w:type="dxa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</w:tr>
      <w:tr w:rsidR="00241E26" w:rsidRPr="00241E26" w:rsidTr="00753D99">
        <w:trPr>
          <w:tblCellSpacing w:w="0" w:type="dxa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241E26" w:rsidRDefault="00241E26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241E26" w:rsidRDefault="00241E26" w:rsidP="003229B2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  <w:sectPr w:rsidR="00241E26" w:rsidSect="006F78EC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44"/>
      </w:tblGrid>
      <w:tr w:rsidR="002A3E3D" w:rsidRPr="000A4172" w:rsidTr="00753D99">
        <w:tc>
          <w:tcPr>
            <w:tcW w:w="4361" w:type="dxa"/>
          </w:tcPr>
          <w:p w:rsidR="002A3E3D" w:rsidRPr="000A4172" w:rsidRDefault="002A3E3D" w:rsidP="00753D99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2A3E3D" w:rsidRPr="000A4172" w:rsidRDefault="002A3E3D" w:rsidP="00753D99">
            <w:pPr>
              <w:shd w:val="clear" w:color="auto" w:fill="FFFFFF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3</w:t>
            </w:r>
          </w:p>
          <w:p w:rsidR="002A3E3D" w:rsidRDefault="002A3E3D" w:rsidP="00753D99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2A3E3D" w:rsidRPr="000A4172" w:rsidRDefault="002A3E3D" w:rsidP="00753D99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«___» __________ 2022 года № ___ </w:t>
            </w:r>
          </w:p>
          <w:p w:rsidR="002A3E3D" w:rsidRPr="000A4172" w:rsidRDefault="002A3E3D" w:rsidP="00753D99">
            <w:pPr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Pr="00432F5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Об утверждении Порядка </w:t>
            </w:r>
            <w:r w:rsidRPr="00616E75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формирования, ведения, ежегодного дополнения и опубликования перечня муниципального имущества Белозерского муниципального округа Курганской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2A3E3D" w:rsidRPr="000A4172" w:rsidRDefault="002A3E3D" w:rsidP="002A3E3D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A3E3D" w:rsidRPr="000A4172" w:rsidRDefault="002A3E3D" w:rsidP="002A3E3D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A3E3D" w:rsidRPr="000A4172" w:rsidRDefault="002A3E3D" w:rsidP="002A3E3D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A3E3D" w:rsidRPr="002A3E3D" w:rsidRDefault="002A3E3D" w:rsidP="002A3E3D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2A3E3D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Виды муниципального имущества, которое используется для</w:t>
      </w:r>
      <w:r w:rsidRPr="002A3E3D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br/>
        <w:t xml:space="preserve">формирования перечня муниципального имущества </w:t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Белозер</w:t>
      </w:r>
      <w:r w:rsidRPr="002A3E3D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ского муниципального округа Курганской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Pr="002A3E3D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 и иным лицам, установленным действующим законодательством Российской Федерации</w:t>
      </w:r>
    </w:p>
    <w:p w:rsidR="002A3E3D" w:rsidRPr="002A3E3D" w:rsidRDefault="002A3E3D" w:rsidP="002A3E3D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A3E3D" w:rsidRPr="002A3E3D" w:rsidRDefault="002A3E3D" w:rsidP="002A3E3D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2A3E3D" w:rsidRPr="002A3E3D" w:rsidRDefault="002A3E3D" w:rsidP="002A3E3D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2A3E3D" w:rsidRPr="002A3E3D" w:rsidRDefault="002A3E3D" w:rsidP="002A3E3D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2A3E3D" w:rsidRPr="002A3E3D" w:rsidRDefault="002A3E3D" w:rsidP="002A3E3D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2A3E3D" w:rsidRPr="002A3E3D" w:rsidRDefault="002A3E3D" w:rsidP="002A3E3D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2A3E3D" w:rsidRPr="002A3E3D" w:rsidRDefault="002A3E3D" w:rsidP="002A3E3D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6. Объекты недвижимого имущества, планируемые к использованию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под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административные,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торговые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или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офисные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цели,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находящиеся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границах населенных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пунктов.</w:t>
      </w:r>
    </w:p>
    <w:p w:rsidR="006F78EC" w:rsidRPr="000A4172" w:rsidRDefault="002A3E3D" w:rsidP="002A3E3D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7. Имущество, закрепленное на праве хозяйственного ведения или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оперативного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управления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за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муниципальным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унитарным предприятием, на праве оперативного управления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з</w:t>
      </w:r>
      <w:r>
        <w:rPr>
          <w:rFonts w:ascii="PT Astra Sans" w:eastAsia="Times New Roman" w:hAnsi="PT Astra Sans" w:cs="Times New Roman"/>
          <w:spacing w:val="-68"/>
          <w:sz w:val="24"/>
          <w:szCs w:val="24"/>
          <w:lang w:eastAsia="ru-RU"/>
        </w:rPr>
        <w:t>а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муниципальным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учреждением,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владеющим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им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соответственно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на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праве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хозяйственного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ведения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или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оперативного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управления, – по предложению балансодержателя о включении указанного</w:t>
      </w:r>
      <w:r w:rsidRPr="002A3E3D">
        <w:rPr>
          <w:rFonts w:ascii="PT Astra Sans" w:eastAsia="Times New Roman" w:hAnsi="PT Astra Sans" w:cs="Times New Roman"/>
          <w:spacing w:val="-67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имущества</w:t>
      </w:r>
      <w:r w:rsidRPr="002A3E3D">
        <w:rPr>
          <w:rFonts w:ascii="PT Astra Sans" w:eastAsia="Times New Roman" w:hAnsi="PT Astra Sans" w:cs="Times New Roman"/>
          <w:spacing w:val="-10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Pr="002A3E3D">
        <w:rPr>
          <w:rFonts w:ascii="PT Astra Sans" w:eastAsia="Times New Roman" w:hAnsi="PT Astra Sans" w:cs="Times New Roman"/>
          <w:spacing w:val="-9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соответствующий</w:t>
      </w:r>
      <w:r w:rsidRPr="002A3E3D">
        <w:rPr>
          <w:rFonts w:ascii="PT Astra Sans" w:eastAsia="Times New Roman" w:hAnsi="PT Astra Sans" w:cs="Times New Roman"/>
          <w:spacing w:val="-7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перечень,</w:t>
      </w:r>
      <w:r w:rsidRPr="002A3E3D">
        <w:rPr>
          <w:rFonts w:ascii="PT Astra Sans" w:eastAsia="Times New Roman" w:hAnsi="PT Astra Sans" w:cs="Times New Roman"/>
          <w:spacing w:val="-10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а</w:t>
      </w:r>
      <w:r w:rsidRPr="002A3E3D">
        <w:rPr>
          <w:rFonts w:ascii="PT Astra Sans" w:eastAsia="Times New Roman" w:hAnsi="PT Astra Sans" w:cs="Times New Roman"/>
          <w:spacing w:val="-9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также</w:t>
      </w:r>
      <w:r w:rsidRPr="002A3E3D">
        <w:rPr>
          <w:rFonts w:ascii="PT Astra Sans" w:eastAsia="Times New Roman" w:hAnsi="PT Astra Sans" w:cs="Times New Roman"/>
          <w:spacing w:val="-8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при</w:t>
      </w:r>
      <w:r w:rsidRPr="002A3E3D">
        <w:rPr>
          <w:rFonts w:ascii="PT Astra Sans" w:eastAsia="Times New Roman" w:hAnsi="PT Astra Sans" w:cs="Times New Roman"/>
          <w:spacing w:val="-9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наличии</w:t>
      </w:r>
      <w:r w:rsidRPr="002A3E3D">
        <w:rPr>
          <w:rFonts w:ascii="PT Astra Sans" w:eastAsia="Times New Roman" w:hAnsi="PT Astra Sans" w:cs="Times New Roman"/>
          <w:spacing w:val="-9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письменного</w:t>
      </w:r>
      <w:r w:rsidRPr="002A3E3D">
        <w:rPr>
          <w:rFonts w:ascii="PT Astra Sans" w:eastAsia="Times New Roman" w:hAnsi="PT Astra Sans" w:cs="Times New Roman"/>
          <w:spacing w:val="-67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согласия органа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местного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самоуправления,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уполномоченного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на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согласование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сделки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с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соответствующим</w:t>
      </w:r>
      <w:r w:rsidRPr="002A3E3D">
        <w:rPr>
          <w:rFonts w:ascii="PT Astra Sans" w:eastAsia="Times New Roman" w:hAnsi="PT Astra Sans" w:cs="Times New Roman"/>
          <w:spacing w:val="-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имуществом.</w:t>
      </w:r>
    </w:p>
    <w:sectPr w:rsidR="006F78EC" w:rsidRPr="000A4172" w:rsidSect="00B31C6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97"/>
    <w:rsid w:val="00017E38"/>
    <w:rsid w:val="00022097"/>
    <w:rsid w:val="00041A99"/>
    <w:rsid w:val="000A4172"/>
    <w:rsid w:val="000D516E"/>
    <w:rsid w:val="00106D6B"/>
    <w:rsid w:val="00122BE4"/>
    <w:rsid w:val="0015751D"/>
    <w:rsid w:val="00157943"/>
    <w:rsid w:val="00185C5C"/>
    <w:rsid w:val="001B0031"/>
    <w:rsid w:val="001D2C56"/>
    <w:rsid w:val="002411FA"/>
    <w:rsid w:val="00241E26"/>
    <w:rsid w:val="00267326"/>
    <w:rsid w:val="00275332"/>
    <w:rsid w:val="002A3E3D"/>
    <w:rsid w:val="002C1F10"/>
    <w:rsid w:val="002E6969"/>
    <w:rsid w:val="0030185E"/>
    <w:rsid w:val="003229B2"/>
    <w:rsid w:val="00370F8C"/>
    <w:rsid w:val="003A19F9"/>
    <w:rsid w:val="00426583"/>
    <w:rsid w:val="00432F5E"/>
    <w:rsid w:val="004450A8"/>
    <w:rsid w:val="004D4A14"/>
    <w:rsid w:val="00524CC6"/>
    <w:rsid w:val="00561B9A"/>
    <w:rsid w:val="00576101"/>
    <w:rsid w:val="00593A9A"/>
    <w:rsid w:val="005B1FCA"/>
    <w:rsid w:val="006002C9"/>
    <w:rsid w:val="00616E75"/>
    <w:rsid w:val="00644F63"/>
    <w:rsid w:val="006700FC"/>
    <w:rsid w:val="0068353B"/>
    <w:rsid w:val="0068430E"/>
    <w:rsid w:val="00691B5E"/>
    <w:rsid w:val="00695193"/>
    <w:rsid w:val="006A5F21"/>
    <w:rsid w:val="006C3517"/>
    <w:rsid w:val="006D7541"/>
    <w:rsid w:val="006F78EC"/>
    <w:rsid w:val="00711279"/>
    <w:rsid w:val="00720E03"/>
    <w:rsid w:val="00762463"/>
    <w:rsid w:val="00765C6B"/>
    <w:rsid w:val="007B0AA9"/>
    <w:rsid w:val="007B5341"/>
    <w:rsid w:val="007C27DD"/>
    <w:rsid w:val="007E138C"/>
    <w:rsid w:val="008044AB"/>
    <w:rsid w:val="008100FC"/>
    <w:rsid w:val="00813100"/>
    <w:rsid w:val="00832783"/>
    <w:rsid w:val="00861380"/>
    <w:rsid w:val="008921EB"/>
    <w:rsid w:val="008A0622"/>
    <w:rsid w:val="008A6475"/>
    <w:rsid w:val="008B0F52"/>
    <w:rsid w:val="008C7CCB"/>
    <w:rsid w:val="008E330A"/>
    <w:rsid w:val="0093660F"/>
    <w:rsid w:val="009C59E2"/>
    <w:rsid w:val="009D01AC"/>
    <w:rsid w:val="009D0436"/>
    <w:rsid w:val="009D7B31"/>
    <w:rsid w:val="00A23573"/>
    <w:rsid w:val="00A4033A"/>
    <w:rsid w:val="00B0181A"/>
    <w:rsid w:val="00B31C69"/>
    <w:rsid w:val="00B83E84"/>
    <w:rsid w:val="00BC2AFA"/>
    <w:rsid w:val="00BD4D5E"/>
    <w:rsid w:val="00BE6122"/>
    <w:rsid w:val="00BF4960"/>
    <w:rsid w:val="00C105E4"/>
    <w:rsid w:val="00C54A09"/>
    <w:rsid w:val="00C81613"/>
    <w:rsid w:val="00CD0F67"/>
    <w:rsid w:val="00CE10D9"/>
    <w:rsid w:val="00CF70DE"/>
    <w:rsid w:val="00D05D57"/>
    <w:rsid w:val="00D25609"/>
    <w:rsid w:val="00D907B0"/>
    <w:rsid w:val="00DA6984"/>
    <w:rsid w:val="00DA6A97"/>
    <w:rsid w:val="00DB43D8"/>
    <w:rsid w:val="00E139F2"/>
    <w:rsid w:val="00E16D0C"/>
    <w:rsid w:val="00E244B4"/>
    <w:rsid w:val="00E33E30"/>
    <w:rsid w:val="00E723AA"/>
    <w:rsid w:val="00EC0B8A"/>
    <w:rsid w:val="00EF39E1"/>
    <w:rsid w:val="00F202D7"/>
    <w:rsid w:val="00F25806"/>
    <w:rsid w:val="00F60E1F"/>
    <w:rsid w:val="00FA0076"/>
    <w:rsid w:val="00FB3371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363DF-6F0C-45EB-89F0-D7ADAE20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C69"/>
    <w:rPr>
      <w:color w:val="0000FF"/>
      <w:u w:val="single"/>
    </w:rPr>
  </w:style>
  <w:style w:type="table" w:styleId="a5">
    <w:name w:val="Table Grid"/>
    <w:basedOn w:val="a1"/>
    <w:uiPriority w:val="59"/>
    <w:rsid w:val="00FA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5321-14A0-476A-8C50-6B8AAE70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13</Pages>
  <Words>4900</Words>
  <Characters>27932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User-н</cp:lastModifiedBy>
  <cp:revision>65</cp:revision>
  <dcterms:created xsi:type="dcterms:W3CDTF">2022-07-12T12:50:00Z</dcterms:created>
  <dcterms:modified xsi:type="dcterms:W3CDTF">2022-11-14T13:45:00Z</dcterms:modified>
</cp:coreProperties>
</file>