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35" w:rsidRDefault="00EC0A35" w:rsidP="00EC0A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C0A35" w:rsidRDefault="00EC0A35" w:rsidP="00EC0A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Белозерского муниципального округа</w:t>
      </w: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Курганской области</w:t>
      </w:r>
    </w:p>
    <w:p w:rsidR="00EC0A35" w:rsidRDefault="00EC0A35" w:rsidP="00EC0A35">
      <w:pPr>
        <w:spacing w:after="0" w:line="240" w:lineRule="auto"/>
        <w:ind w:firstLine="708"/>
        <w:jc w:val="right"/>
        <w:rPr>
          <w:rFonts w:ascii="PT Astra Sans" w:eastAsia="Times New Roman" w:hAnsi="PT Astra Sans" w:cs="Times New Roman"/>
          <w:sz w:val="36"/>
          <w:szCs w:val="36"/>
          <w:lang w:eastAsia="ru-RU"/>
        </w:rPr>
      </w:pPr>
    </w:p>
    <w:p w:rsidR="00EC0A35" w:rsidRDefault="00EC0A35" w:rsidP="00EC0A35">
      <w:pPr>
        <w:spacing w:after="0" w:line="240" w:lineRule="auto"/>
        <w:ind w:firstLine="708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48"/>
          <w:szCs w:val="48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48"/>
          <w:szCs w:val="48"/>
          <w:lang w:eastAsia="ru-RU"/>
        </w:rPr>
        <w:t>ПОСТАНОВЛЕНИЕ</w:t>
      </w: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BB3334" w:rsidP="00EC0A35">
      <w:pPr>
        <w:spacing w:after="0" w:line="240" w:lineRule="auto"/>
        <w:ind w:left="993" w:hanging="993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от « 7 » мая 2024 года  №328</w:t>
      </w:r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EC0A35" w:rsidRDefault="00BB3334" w:rsidP="00EC0A35">
      <w:pPr>
        <w:spacing w:after="0" w:line="240" w:lineRule="auto"/>
        <w:ind w:left="993" w:hanging="993"/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</w:t>
      </w:r>
      <w:bookmarkStart w:id="0" w:name="_GoBack"/>
      <w:bookmarkEnd w:id="0"/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с. Белозерское</w:t>
      </w: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 внесении изменений в постановление Администрации Белозерского муниципального округа от 10 октября  2022 года № 256  «Об утверждении Муниципальной программы Белозерского муниципального округа «Сохранение и развитие культуры Белозерского муниципального округа» на 2023-2025 годы»</w:t>
      </w: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C0A35" w:rsidRDefault="00EC0A35" w:rsidP="00EC0A35">
      <w:pPr>
        <w:keepNext/>
        <w:autoSpaceDE w:val="0"/>
        <w:autoSpaceDN w:val="0"/>
        <w:spacing w:after="0" w:line="240" w:lineRule="auto"/>
        <w:ind w:firstLine="737"/>
        <w:jc w:val="both"/>
        <w:outlineLvl w:val="0"/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</w:pPr>
    </w:p>
    <w:p w:rsidR="00EC0A35" w:rsidRDefault="00EC0A35" w:rsidP="00EC0A35">
      <w:pPr>
        <w:keepNext/>
        <w:autoSpaceDE w:val="0"/>
        <w:autoSpaceDN w:val="0"/>
        <w:spacing w:after="0" w:line="240" w:lineRule="auto"/>
        <w:ind w:firstLine="737"/>
        <w:jc w:val="both"/>
        <w:outlineLvl w:val="0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  <w:t>В целях реализации государственной политики в сфере культуры Администрация Белозерского муниципального округа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ПОСТАНОВЛЯЕТ: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Внести в постановление Администрации Белозерского муниципального округа от 10 октября 2022 года № 256 «Об утверждении Муниципальной программы Белозерского муниципального округа «Сохранение и развитие культуры Белозерского муниципального округа на 2023-2025 годы» следующие изменения: </w:t>
      </w:r>
    </w:p>
    <w:p w:rsidR="00EC0A35" w:rsidRDefault="00EC0A35" w:rsidP="00EC0A35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- пункт 1 раздела </w:t>
      </w:r>
      <w:r>
        <w:rPr>
          <w:rFonts w:ascii="PT Astra Sans" w:eastAsia="Times New Roman" w:hAnsi="PT Astra Sans" w:cs="Times New Roman"/>
          <w:sz w:val="24"/>
          <w:szCs w:val="24"/>
          <w:lang w:val="en-US" w:eastAsia="ru-RU"/>
        </w:rPr>
        <w:t>X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«Ресурсное обеспечение Муниципальной программы Белозерского района «Сохранение и развитие культуры Белозерского муниципального округа на 2023-2025 годы» приложения к данному постановлению  изложить в следующей редакции: 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139"/>
        <w:gridCol w:w="1341"/>
        <w:gridCol w:w="1708"/>
        <w:gridCol w:w="1246"/>
        <w:gridCol w:w="2016"/>
      </w:tblGrid>
      <w:tr w:rsidR="0025344E" w:rsidTr="003E1B30">
        <w:trPr>
          <w:trHeight w:val="370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№</w:t>
            </w:r>
            <w:proofErr w:type="gramStart"/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п</w:t>
            </w:r>
            <w:proofErr w:type="gramEnd"/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/п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Перечень основных направлений деятельности</w:t>
            </w:r>
          </w:p>
        </w:tc>
        <w:tc>
          <w:tcPr>
            <w:tcW w:w="2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Ресурсное обеспечение Программы,</w:t>
            </w:r>
          </w:p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тыс. руб.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Ответственные исполнители и соисполнители Программы</w:t>
            </w:r>
          </w:p>
        </w:tc>
      </w:tr>
      <w:tr w:rsidR="0025344E" w:rsidTr="003E1B3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2023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2024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2025</w:t>
            </w: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3E1B30" w:rsidTr="003E1B30">
        <w:trPr>
          <w:trHeight w:val="278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1.</w:t>
            </w: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lastRenderedPageBreak/>
              <w:t xml:space="preserve">Сохранение и развитие </w:t>
            </w:r>
          </w:p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 xml:space="preserve">традиционной народной </w:t>
            </w:r>
          </w:p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 xml:space="preserve">культуры, нематериального </w:t>
            </w:r>
          </w:p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культурного наследия, развитие культурно-досуговой деятельности</w:t>
            </w: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53503,899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88719,83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tLeast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52091,9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Администрация Белозерского муниципального округа Курганской области,</w:t>
            </w:r>
          </w:p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МБУ  «Белозерский ЦК»,</w:t>
            </w:r>
          </w:p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МКУК «Белозерский РКМ»,</w:t>
            </w:r>
          </w:p>
          <w:p w:rsidR="003E1B30" w:rsidRDefault="00227746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территориальные отделы.</w:t>
            </w:r>
          </w:p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3E1B30" w:rsidTr="003E1B3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30" w:rsidRDefault="003E1B30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i/>
                <w:lang w:eastAsia="ru-RU"/>
              </w:rPr>
            </w:pPr>
            <w:r>
              <w:rPr>
                <w:rFonts w:ascii="PT Astra Sans" w:eastAsia="Times New Roman" w:hAnsi="PT Astra Sans" w:cs="Times New Roman"/>
                <w:i/>
                <w:lang w:eastAsia="ru-RU"/>
              </w:rPr>
              <w:t>В том числе: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30" w:rsidRDefault="003E1B30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3E1B30" w:rsidTr="003E1B3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30" w:rsidRDefault="003E1B30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 xml:space="preserve">- субсидия на реконструкцию и капитальный ремонт </w:t>
            </w:r>
            <w:r>
              <w:rPr>
                <w:rFonts w:ascii="PT Astra Sans" w:eastAsia="Times New Roman" w:hAnsi="PT Astra Sans" w:cs="Times New Roman"/>
                <w:lang w:eastAsia="ru-RU"/>
              </w:rPr>
              <w:lastRenderedPageBreak/>
              <w:t>региональных и муниципальных музеев и на развитие   сети учреждений культурно досугового типа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4403,804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30" w:rsidRDefault="003E1B30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3E1B30" w:rsidTr="003E1B30">
        <w:trPr>
          <w:trHeight w:val="2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30" w:rsidRDefault="003E1B30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 на государственную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110,0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B30" w:rsidRDefault="003E1B30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3E1B30" w:rsidTr="003E1B30">
        <w:trPr>
          <w:trHeight w:val="27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1001,001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911,912</w:t>
            </w:r>
          </w:p>
        </w:tc>
        <w:tc>
          <w:tcPr>
            <w:tcW w:w="108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B30" w:rsidRDefault="003E1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3E1B30" w:rsidTr="003E1B30">
        <w:trPr>
          <w:trHeight w:val="278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 w:rsidP="004A6D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 w:rsidP="004A6D1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субсидия, выделяемая</w:t>
            </w:r>
            <w:r w:rsidRPr="001E09A9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из областного бюджета местным бюджетам на развитие муниципальн</w:t>
            </w: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ой системы культуры в 2024 году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25025, 025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30" w:rsidRDefault="003E1B30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</w:tbl>
    <w:p w:rsidR="00EC0A35" w:rsidRDefault="00EC0A35" w:rsidP="00EC0A35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».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 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EC0A35" w:rsidRDefault="00EC0A35" w:rsidP="00EC0A35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Белозерского муниципального округа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ab/>
        <w:t xml:space="preserve">           Н.А. Богданова</w:t>
      </w:r>
    </w:p>
    <w:p w:rsidR="00EC0A35" w:rsidRDefault="00EC0A35" w:rsidP="00EC0A35"/>
    <w:p w:rsidR="00FB4B81" w:rsidRDefault="00FB4B81"/>
    <w:sectPr w:rsidR="00FB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F2"/>
    <w:rsid w:val="001E09A9"/>
    <w:rsid w:val="00227746"/>
    <w:rsid w:val="0025344E"/>
    <w:rsid w:val="003E1B30"/>
    <w:rsid w:val="00541FBE"/>
    <w:rsid w:val="00782DDF"/>
    <w:rsid w:val="00BB3334"/>
    <w:rsid w:val="00C91CF2"/>
    <w:rsid w:val="00EC0A35"/>
    <w:rsid w:val="00F053C6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A52D-40BF-4BF0-A57A-C0EF9551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2</cp:revision>
  <cp:lastPrinted>2024-05-15T09:26:00Z</cp:lastPrinted>
  <dcterms:created xsi:type="dcterms:W3CDTF">2024-05-15T09:27:00Z</dcterms:created>
  <dcterms:modified xsi:type="dcterms:W3CDTF">2024-05-15T09:27:00Z</dcterms:modified>
</cp:coreProperties>
</file>